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A" w:rsidRPr="001A3BAA" w:rsidRDefault="001A3BAA" w:rsidP="001A3BAA">
      <w:pPr>
        <w:spacing w:before="13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1A3BAA" w:rsidRPr="001A3BAA" w:rsidRDefault="00FC6E56" w:rsidP="001A3BAA">
      <w:pPr>
        <w:spacing w:line="200" w:lineRule="atLeast"/>
        <w:ind w:left="667"/>
        <w:rPr>
          <w:rFonts w:ascii="Times New Roman" w:eastAsia="Times New Roman" w:hAnsi="Times New Roman" w:cs="Times New Roman"/>
          <w:sz w:val="20"/>
          <w:szCs w:val="20"/>
        </w:rPr>
      </w:pPr>
      <w:r w:rsidRPr="00FC6E56">
        <w:pict>
          <v:group id="_x0000_s1045" style="width:467.9pt;height:41.45pt;mso-position-horizontal-relative:char;mso-position-vertical-relative:line" coordsize="9358,829">
            <v:group id="_x0000_s1046" style="position:absolute;left:8;top:8;width:9320;height:2" coordorigin="8,8" coordsize="9320,2">
              <v:shape id="_x0000_s1047" style="position:absolute;left:8;top:8;width:9320;height:2" coordorigin="8,8" coordsize="9320,0" path="m8,8r9319,e" filled="f" strokeweight=".82pt">
                <v:path arrowok="t"/>
              </v:shape>
            </v:group>
            <v:group id="_x0000_s1048" style="position:absolute;left:15;top:15;width:2;height:777" coordorigin="15,15" coordsize="2,777">
              <v:shape id="_x0000_s1049" style="position:absolute;left:15;top:15;width:2;height:777" coordorigin="15,15" coordsize="0,777" path="m15,15r,777e" filled="f" strokeweight=".82pt">
                <v:path arrowok="t"/>
              </v:shape>
            </v:group>
            <v:group id="_x0000_s1050" style="position:absolute;left:9327;top:15;width:2;height:798" coordorigin="9327,15" coordsize="2,798">
              <v:shape id="_x0000_s1051" style="position:absolute;left:9327;top:15;width:2;height:798" coordorigin="9327,15" coordsize="0,798" path="m9327,15r,798e" filled="f" strokeweight="1.54pt">
                <v:path arrowok="t"/>
              </v:shape>
            </v:group>
            <v:group id="_x0000_s1052" style="position:absolute;left:23;top:785;width:9320;height:2" coordorigin="23,785" coordsize="9320,2">
              <v:shape id="_x0000_s1053" style="position:absolute;left:23;top:785;width:9320;height:2" coordorigin="23,785" coordsize="9320,0" path="m23,785r9319,e" filled="f" strokeweight="1.54pt">
                <v:path arrowok="t"/>
              </v:shape>
            </v:group>
            <v:group id="_x0000_s1054" style="position:absolute;left:9313;top:770;width:15;height:15" coordorigin="9313,770" coordsize="15,15">
              <v:shape id="_x0000_s1055" style="position:absolute;left:9313;top:770;width:15;height:15" coordorigin="9313,770" coordsize="15,15" path="m9313,777r14,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15;top:8;width:9312;height:777" filled="f" stroked="f">
                <v:textbox inset="0,0,0,0">
                  <w:txbxContent>
                    <w:p w:rsidR="001A3BAA" w:rsidRPr="001A3BAA" w:rsidRDefault="001A3BAA" w:rsidP="001A3BAA">
                      <w:pPr>
                        <w:tabs>
                          <w:tab w:val="left" w:pos="6633"/>
                        </w:tabs>
                        <w:spacing w:before="27"/>
                        <w:ind w:right="203"/>
                        <w:jc w:val="right"/>
                        <w:rPr>
                          <w:rFonts w:ascii="Times New Roman"/>
                          <w:sz w:val="4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z w:val="48"/>
                        </w:rPr>
                        <w:t>Biolife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48"/>
                        </w:rPr>
                        <w:t>Italiana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  <w:sz w:val="48"/>
                        </w:rPr>
                        <w:t>Srl</w:t>
                      </w:r>
                      <w:proofErr w:type="spellEnd"/>
                      <w:r>
                        <w:tab/>
                        <w:t>Технічна інформація</w:t>
                      </w:r>
                    </w:p>
                    <w:p w:rsidR="001A3BAA" w:rsidRPr="001A3BAA" w:rsidRDefault="001A3BAA" w:rsidP="001A3BAA">
                      <w:pPr>
                        <w:spacing w:before="1"/>
                        <w:ind w:right="201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 °401032 BE –0 06/10/2004 стор. 1/ 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A3BAA" w:rsidRPr="001A3BAA" w:rsidRDefault="001A3BAA" w:rsidP="001A3BAA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1A3BAA" w:rsidRPr="001A3BAA" w:rsidRDefault="001A3BAA" w:rsidP="001A3BAA">
      <w:pPr>
        <w:spacing w:before="64" w:line="322" w:lineRule="exact"/>
        <w:ind w:left="3309"/>
        <w:rPr>
          <w:rFonts w:ascii="Arial"/>
          <w:b/>
          <w:sz w:val="28"/>
        </w:rPr>
      </w:pPr>
      <w:r>
        <w:rPr>
          <w:rFonts w:ascii="Arial"/>
          <w:b/>
          <w:sz w:val="28"/>
        </w:rPr>
        <w:t>ЛУЖНА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ПЕПТОННА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z w:val="28"/>
        </w:rPr>
        <w:t>ВОДА</w:t>
      </w:r>
    </w:p>
    <w:p w:rsidR="001A3BAA" w:rsidRPr="001A3BAA" w:rsidRDefault="001A3BAA" w:rsidP="001A3BAA">
      <w:pPr>
        <w:pStyle w:val="Heading1"/>
        <w:spacing w:line="230" w:lineRule="exact"/>
        <w:ind w:left="719" w:firstLine="2156"/>
        <w:rPr>
          <w:b w:val="0"/>
        </w:rPr>
      </w:pPr>
      <w:r>
        <w:t xml:space="preserve">Транспортне та збагачувальне середовище для </w:t>
      </w:r>
      <w:proofErr w:type="spellStart"/>
      <w:r>
        <w:rPr>
          <w:i/>
        </w:rPr>
        <w:t>Vibrio</w:t>
      </w:r>
      <w:proofErr w:type="spellEnd"/>
      <w:r>
        <w:t xml:space="preserve"> </w:t>
      </w:r>
      <w:proofErr w:type="spellStart"/>
      <w:r>
        <w:t>spp</w:t>
      </w:r>
      <w:proofErr w:type="spellEnd"/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60" w:lineRule="atLeast"/>
        <w:rPr>
          <w:rFonts w:ascii="Arial" w:eastAsia="Arial" w:hAnsi="Arial" w:cs="Arial"/>
        </w:rPr>
      </w:pPr>
    </w:p>
    <w:p w:rsidR="001A3BAA" w:rsidRPr="001A3BAA" w:rsidRDefault="001A3BAA" w:rsidP="001A3BAA">
      <w:pPr>
        <w:spacing w:line="230" w:lineRule="exact"/>
        <w:ind w:left="719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Типова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формула</w:t>
      </w:r>
      <w:r>
        <w:rPr>
          <w:rFonts w:ascii="Arial"/>
          <w:b/>
          <w:sz w:val="20"/>
        </w:rPr>
        <w:t xml:space="preserve"> (</w:t>
      </w:r>
      <w:r>
        <w:rPr>
          <w:rFonts w:ascii="Arial"/>
          <w:b/>
          <w:sz w:val="20"/>
        </w:rPr>
        <w:t>г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z w:val="20"/>
        </w:rPr>
        <w:t>л</w:t>
      </w:r>
      <w:r>
        <w:rPr>
          <w:rFonts w:ascii="Arial"/>
          <w:b/>
          <w:sz w:val="20"/>
        </w:rPr>
        <w:t>)</w:t>
      </w:r>
    </w:p>
    <w:p w:rsidR="001A3BAA" w:rsidRPr="001A3BAA" w:rsidRDefault="001A3BAA" w:rsidP="001A3BAA">
      <w:pPr>
        <w:pStyle w:val="a3"/>
        <w:spacing w:line="229" w:lineRule="exact"/>
        <w:ind w:left="719"/>
        <w:jc w:val="both"/>
      </w:pPr>
      <w:proofErr w:type="spellStart"/>
      <w:r>
        <w:t>Триптичний</w:t>
      </w:r>
      <w:proofErr w:type="spellEnd"/>
      <w:r>
        <w:t xml:space="preserve"> Гідролізат Казеїну     10</w:t>
      </w:r>
    </w:p>
    <w:p w:rsidR="001A3BAA" w:rsidRPr="001A3BAA" w:rsidRDefault="001A3BAA" w:rsidP="001A3BAA">
      <w:pPr>
        <w:pStyle w:val="a3"/>
        <w:tabs>
          <w:tab w:val="right" w:pos="3553"/>
        </w:tabs>
        <w:spacing w:line="230" w:lineRule="exact"/>
        <w:ind w:left="719"/>
        <w:jc w:val="both"/>
      </w:pPr>
      <w:r>
        <w:t>Натрію Хлорид     10</w:t>
      </w:r>
    </w:p>
    <w:p w:rsidR="001A3BAA" w:rsidRPr="001A3BAA" w:rsidRDefault="001A3BAA" w:rsidP="001A3BAA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pStyle w:val="Heading1"/>
        <w:spacing w:line="229" w:lineRule="exact"/>
        <w:ind w:left="719"/>
        <w:jc w:val="both"/>
      </w:pPr>
      <w:r>
        <w:t>Вказівки</w:t>
      </w:r>
    </w:p>
    <w:p w:rsidR="001A3BAA" w:rsidRPr="001A3BAA" w:rsidRDefault="001A3BAA" w:rsidP="001A3BAA">
      <w:pPr>
        <w:pStyle w:val="a3"/>
        <w:spacing w:before="2" w:line="230" w:lineRule="exact"/>
        <w:ind w:left="719" w:right="255"/>
      </w:pPr>
      <w:r>
        <w:t xml:space="preserve">Розчиніть 20 г у 1000 </w:t>
      </w:r>
      <w:proofErr w:type="spellStart"/>
      <w:r>
        <w:t>мл</w:t>
      </w:r>
      <w:proofErr w:type="spellEnd"/>
      <w:r>
        <w:t xml:space="preserve"> холодної води, нагрійте до розчинення </w:t>
      </w:r>
      <w:proofErr w:type="spellStart"/>
      <w:r>
        <w:t>тастерилізуйте</w:t>
      </w:r>
      <w:proofErr w:type="spellEnd"/>
      <w:r>
        <w:t xml:space="preserve"> </w:t>
      </w:r>
      <w:proofErr w:type="spellStart"/>
      <w:r>
        <w:t>автоклавуванням</w:t>
      </w:r>
      <w:proofErr w:type="spellEnd"/>
      <w:r>
        <w:t xml:space="preserve"> при 121ºC протягом 15 хвилин.</w:t>
      </w:r>
    </w:p>
    <w:p w:rsidR="001A3BAA" w:rsidRPr="001A3BAA" w:rsidRDefault="001A3BAA" w:rsidP="001A3BAA">
      <w:pPr>
        <w:pStyle w:val="a3"/>
        <w:spacing w:line="227" w:lineRule="exact"/>
        <w:jc w:val="both"/>
      </w:pPr>
      <w:r>
        <w:t xml:space="preserve">Кінцева </w:t>
      </w:r>
      <w:proofErr w:type="spellStart"/>
      <w:r>
        <w:t>pH</w:t>
      </w:r>
      <w:proofErr w:type="spellEnd"/>
      <w:r>
        <w:t xml:space="preserve"> 8,5 ± 0,2</w:t>
      </w:r>
    </w:p>
    <w:p w:rsidR="001A3BAA" w:rsidRPr="001A3BAA" w:rsidRDefault="001A3BAA" w:rsidP="001A3BAA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pStyle w:val="Heading1"/>
        <w:spacing w:line="230" w:lineRule="exact"/>
        <w:jc w:val="both"/>
      </w:pPr>
      <w:r>
        <w:t>Опис</w:t>
      </w:r>
    </w:p>
    <w:p w:rsidR="001A3BAA" w:rsidRPr="001A3BAA" w:rsidRDefault="001A3BAA" w:rsidP="001A3BAA">
      <w:pPr>
        <w:pStyle w:val="a3"/>
      </w:pPr>
      <w:r>
        <w:t xml:space="preserve">Лужна </w:t>
      </w:r>
      <w:proofErr w:type="spellStart"/>
      <w:r>
        <w:t>Пептонна</w:t>
      </w:r>
      <w:proofErr w:type="spellEnd"/>
      <w:r>
        <w:t xml:space="preserve"> Вода рекомендована OMS, APHA та FDA у якості транспортного та збагачувального середовища для</w:t>
      </w:r>
      <w:r>
        <w:rPr>
          <w:i/>
        </w:rPr>
        <w:t xml:space="preserve"> </w:t>
      </w:r>
      <w:proofErr w:type="spellStart"/>
      <w:r>
        <w:rPr>
          <w:i/>
        </w:rPr>
        <w:t>Vibrio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:rsidR="001A3BAA" w:rsidRPr="001A3BAA" w:rsidRDefault="001A3BAA" w:rsidP="001A3BAA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pStyle w:val="Heading1"/>
        <w:spacing w:line="229" w:lineRule="exact"/>
        <w:ind w:left="719"/>
        <w:jc w:val="both"/>
      </w:pPr>
      <w:r>
        <w:t>Методика</w:t>
      </w:r>
    </w:p>
    <w:p w:rsidR="001A3BAA" w:rsidRPr="001A3BAA" w:rsidRDefault="001A3BAA" w:rsidP="001A3BAA">
      <w:pPr>
        <w:pStyle w:val="a3"/>
        <w:spacing w:line="238" w:lineRule="auto"/>
        <w:ind w:left="719" w:right="302"/>
        <w:jc w:val="both"/>
      </w:pPr>
      <w:r>
        <w:t xml:space="preserve">Зазвичай тест-зразок готують змішуючи 25 (або 50) г зразку з 225 (або 450) </w:t>
      </w:r>
      <w:proofErr w:type="spellStart"/>
      <w:r>
        <w:t>мл</w:t>
      </w:r>
      <w:proofErr w:type="spellEnd"/>
      <w:r>
        <w:t xml:space="preserve"> Лужної </w:t>
      </w:r>
      <w:proofErr w:type="spellStart"/>
      <w:r>
        <w:t>Пептонної</w:t>
      </w:r>
      <w:proofErr w:type="spellEnd"/>
      <w:r>
        <w:t xml:space="preserve"> Води. Посіяні флакони інкубують при 37°C та сіють чашковим методом на TCBS Агар через 6 - 8 годин та 16 - 24 години інкубації. Остання перевірка характеристик колоній, культивованих на TCBS Агарі має бути проведена згідно з критеріями, наведеними у цитованій літературі. Диференціація між </w:t>
      </w:r>
      <w:proofErr w:type="spellStart"/>
      <w:r>
        <w:rPr>
          <w:i/>
        </w:rPr>
        <w:t>V.cholerae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V.parahaemolyticus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V.vulnificus</w:t>
      </w:r>
      <w:proofErr w:type="spellEnd"/>
      <w:r>
        <w:t xml:space="preserve"> та </w:t>
      </w:r>
      <w:r>
        <w:rPr>
          <w:i/>
        </w:rPr>
        <w:t xml:space="preserve">V. </w:t>
      </w:r>
      <w:proofErr w:type="spellStart"/>
      <w:r>
        <w:rPr>
          <w:i/>
        </w:rPr>
        <w:t>alginolyticus</w:t>
      </w:r>
      <w:proofErr w:type="spellEnd"/>
      <w:r>
        <w:t xml:space="preserve"> отримують, проводячи наступні тести: фарбування за Грамом, рухомість, </w:t>
      </w:r>
      <w:proofErr w:type="spellStart"/>
      <w:r>
        <w:t>оксидазний</w:t>
      </w:r>
      <w:proofErr w:type="spellEnd"/>
      <w:r>
        <w:t xml:space="preserve"> тест, ОФ тест, </w:t>
      </w:r>
      <w:proofErr w:type="spellStart"/>
      <w:r>
        <w:t>рітс</w:t>
      </w:r>
      <w:proofErr w:type="spellEnd"/>
      <w:r>
        <w:t xml:space="preserve"> при 42°C, </w:t>
      </w:r>
      <w:proofErr w:type="spellStart"/>
      <w:r>
        <w:t>інгібування</w:t>
      </w:r>
      <w:proofErr w:type="spellEnd"/>
      <w:r>
        <w:t xml:space="preserve"> О/129, відновлення нітрату до нітриту, аргінін </w:t>
      </w:r>
      <w:proofErr w:type="spellStart"/>
      <w:r>
        <w:t>дегідролаза</w:t>
      </w:r>
      <w:proofErr w:type="spellEnd"/>
      <w:r>
        <w:t xml:space="preserve">, лізин декарбоксилаза, ONPG, кислота/газ з глюкози, сахароза, </w:t>
      </w:r>
      <w:proofErr w:type="spellStart"/>
      <w:r>
        <w:t>целлобіоза</w:t>
      </w:r>
      <w:proofErr w:type="spellEnd"/>
      <w:r>
        <w:t xml:space="preserve">, </w:t>
      </w:r>
      <w:proofErr w:type="spellStart"/>
      <w:r>
        <w:t>галофітні</w:t>
      </w:r>
      <w:proofErr w:type="spellEnd"/>
      <w:r>
        <w:t xml:space="preserve"> характеристики. Так звана  "Холера-червона реакція" (червоне забарвлення через утворення нітроз-індолу після додання кількох крапель концентрованої сірчаної кислоти) може бути перевірена на Лужній </w:t>
      </w:r>
      <w:proofErr w:type="spellStart"/>
      <w:r>
        <w:t>Пептонній</w:t>
      </w:r>
      <w:proofErr w:type="spellEnd"/>
      <w:r>
        <w:t xml:space="preserve"> Воді після інкубації при 37</w:t>
      </w:r>
      <w:r>
        <w:t xml:space="preserve">C протягом 24 годин. Тим не менш, тест має низьку діагностичну цінність, тому що кілька непатогенних вібріонів та, головним чином, всі індол-утворюючі та </w:t>
      </w:r>
      <w:proofErr w:type="spellStart"/>
      <w:r>
        <w:t>нітрат-відновлюючі</w:t>
      </w:r>
      <w:proofErr w:type="spellEnd"/>
      <w:r>
        <w:t xml:space="preserve"> організми також дають позитивну реакцію. Мікроскопічне дослідження у темному полі (X400), що дозволяє спостерігати швидку та типову стрілочну рухомість, є більш результативним у ранній діагностиці. Вигляд мікроскопічного поля був порівняний із виглядом літнього неба з падаючими зірками. Мікроскопічна діагностика може бути підтверджена методом </w:t>
      </w:r>
      <w:proofErr w:type="spellStart"/>
      <w:r>
        <w:t>Бененсона</w:t>
      </w:r>
      <w:proofErr w:type="spellEnd"/>
      <w:r>
        <w:t xml:space="preserve">, </w:t>
      </w:r>
      <w:proofErr w:type="spellStart"/>
      <w:r>
        <w:t>ща</w:t>
      </w:r>
      <w:proofErr w:type="spellEnd"/>
      <w:r>
        <w:t xml:space="preserve"> базується на специфічному </w:t>
      </w:r>
      <w:proofErr w:type="spellStart"/>
      <w:r>
        <w:t>інгібуванні</w:t>
      </w:r>
      <w:proofErr w:type="spellEnd"/>
      <w:r>
        <w:t xml:space="preserve"> рухомості </w:t>
      </w:r>
      <w:proofErr w:type="spellStart"/>
      <w:r>
        <w:rPr>
          <w:i/>
        </w:rPr>
        <w:t>Vibrio</w:t>
      </w:r>
      <w:proofErr w:type="spellEnd"/>
      <w:r>
        <w:rPr>
          <w:i/>
        </w:rPr>
        <w:t xml:space="preserve"> </w:t>
      </w:r>
      <w:r>
        <w:t>О-групою полівалентної сироватки.</w:t>
      </w:r>
    </w:p>
    <w:p w:rsidR="001A3BAA" w:rsidRPr="001A3BAA" w:rsidRDefault="001A3BAA" w:rsidP="001A3BAA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ind w:left="720" w:right="5059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Гарантія Якості Користувача </w:t>
      </w:r>
      <w:r>
        <w:rPr>
          <w:rFonts w:ascii="Arial" w:hAnsi="Arial"/>
          <w:bCs/>
          <w:sz w:val="20"/>
          <w:szCs w:val="20"/>
        </w:rPr>
        <w:t>(37°C – 24години) Контроль ефективності</w:t>
      </w:r>
    </w:p>
    <w:p w:rsidR="001A3BAA" w:rsidRPr="001A3BAA" w:rsidRDefault="001A3BAA" w:rsidP="001A3BAA">
      <w:pPr>
        <w:ind w:left="719" w:right="4905"/>
        <w:rPr>
          <w:rFonts w:ascii="Arial"/>
          <w:sz w:val="20"/>
        </w:rPr>
      </w:pPr>
      <w:proofErr w:type="spellStart"/>
      <w:r>
        <w:rPr>
          <w:rFonts w:ascii="Arial"/>
          <w:i/>
          <w:sz w:val="20"/>
        </w:rPr>
        <w:t>V.parahaenolyticus</w:t>
      </w:r>
      <w:proofErr w:type="spellEnd"/>
      <w:r>
        <w:rPr>
          <w:rFonts w:ascii="Arial"/>
          <w:i/>
          <w:sz w:val="20"/>
        </w:rPr>
        <w:t xml:space="preserve">  </w:t>
      </w:r>
      <w:r>
        <w:rPr>
          <w:rFonts w:ascii="Arial"/>
          <w:sz w:val="20"/>
        </w:rPr>
        <w:t xml:space="preserve">ATCC 17802: </w:t>
      </w:r>
      <w:r>
        <w:rPr>
          <w:rFonts w:ascii="Arial"/>
          <w:sz w:val="20"/>
        </w:rPr>
        <w:t>ріст</w:t>
      </w:r>
      <w:r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Контроль</w:t>
      </w:r>
      <w:r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вибірковості</w:t>
      </w:r>
    </w:p>
    <w:p w:rsidR="001A3BAA" w:rsidRPr="001A3BAA" w:rsidRDefault="001A3BAA" w:rsidP="001A3BAA">
      <w:pPr>
        <w:pStyle w:val="a3"/>
        <w:spacing w:line="229" w:lineRule="exact"/>
        <w:ind w:hanging="1"/>
        <w:jc w:val="both"/>
      </w:pPr>
      <w:proofErr w:type="spellStart"/>
      <w:r>
        <w:rPr>
          <w:i/>
        </w:rPr>
        <w:t>S.pyogenes</w:t>
      </w:r>
      <w:proofErr w:type="spellEnd"/>
      <w:r>
        <w:rPr>
          <w:i/>
        </w:rPr>
        <w:t xml:space="preserve"> </w:t>
      </w:r>
      <w:r>
        <w:t xml:space="preserve">ATCC 25922: частково </w:t>
      </w:r>
      <w:proofErr w:type="spellStart"/>
      <w:r>
        <w:t>інгібується</w:t>
      </w:r>
      <w:proofErr w:type="spellEnd"/>
    </w:p>
    <w:p w:rsidR="001A3BAA" w:rsidRPr="001A3BAA" w:rsidRDefault="001A3BAA" w:rsidP="001A3BAA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pStyle w:val="Heading1"/>
        <w:spacing w:line="229" w:lineRule="exact"/>
        <w:jc w:val="both"/>
      </w:pPr>
      <w:r>
        <w:t>Зберігання</w:t>
      </w:r>
    </w:p>
    <w:p w:rsidR="001A3BAA" w:rsidRPr="001A3BAA" w:rsidRDefault="001A3BAA" w:rsidP="001A3BAA">
      <w:pPr>
        <w:pStyle w:val="a3"/>
        <w:spacing w:line="229" w:lineRule="exact"/>
        <w:jc w:val="both"/>
      </w:pPr>
      <w:r>
        <w:t>Сухе середовище: 10-30°C</w:t>
      </w:r>
    </w:p>
    <w:p w:rsidR="001A3BAA" w:rsidRPr="001A3BAA" w:rsidRDefault="001A3BAA" w:rsidP="001A3BAA">
      <w:pPr>
        <w:pStyle w:val="a3"/>
        <w:jc w:val="both"/>
      </w:pPr>
      <w:r>
        <w:t>Приготовані користувачем пробірки: 1 місяць при 2-8°C</w:t>
      </w:r>
    </w:p>
    <w:p w:rsidR="001A3BAA" w:rsidRPr="001A3BAA" w:rsidRDefault="001A3BAA" w:rsidP="001A3BAA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1A3BAA" w:rsidRPr="001A3BAA" w:rsidRDefault="001A3BAA" w:rsidP="001A3BAA">
      <w:pPr>
        <w:pStyle w:val="Heading1"/>
        <w:spacing w:line="230" w:lineRule="exact"/>
        <w:jc w:val="both"/>
      </w:pPr>
      <w:r>
        <w:t>Використана література:</w:t>
      </w:r>
    </w:p>
    <w:p w:rsidR="001A3BAA" w:rsidRPr="001A3BAA" w:rsidRDefault="001A3BAA" w:rsidP="001A3BAA">
      <w:pPr>
        <w:pStyle w:val="a3"/>
        <w:numPr>
          <w:ilvl w:val="0"/>
          <w:numId w:val="1"/>
        </w:numPr>
        <w:tabs>
          <w:tab w:val="left" w:pos="861"/>
        </w:tabs>
        <w:spacing w:line="230" w:lineRule="exact"/>
        <w:ind w:hanging="140"/>
        <w:jc w:val="both"/>
      </w:pPr>
      <w:r>
        <w:t xml:space="preserve">APHA (1985) - Standard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Wastewater</w:t>
      </w:r>
      <w:proofErr w:type="spellEnd"/>
      <w:r>
        <w:t xml:space="preserve">, 16th </w:t>
      </w:r>
      <w:proofErr w:type="spellStart"/>
      <w:r>
        <w:t>ed</w:t>
      </w:r>
      <w:proofErr w:type="spellEnd"/>
      <w:r>
        <w:t>.</w:t>
      </w:r>
    </w:p>
    <w:p w:rsidR="001A3BAA" w:rsidRPr="001A3BAA" w:rsidRDefault="001A3BAA" w:rsidP="001A3BAA">
      <w:pPr>
        <w:pStyle w:val="a3"/>
        <w:numPr>
          <w:ilvl w:val="0"/>
          <w:numId w:val="1"/>
        </w:numPr>
        <w:tabs>
          <w:tab w:val="left" w:pos="861"/>
        </w:tabs>
        <w:spacing w:line="230" w:lineRule="exact"/>
        <w:ind w:hanging="140"/>
        <w:jc w:val="both"/>
      </w:pPr>
      <w:proofErr w:type="spellStart"/>
      <w:r>
        <w:t>Benenson</w:t>
      </w:r>
      <w:proofErr w:type="spellEnd"/>
      <w:r>
        <w:t xml:space="preserve">, A.S., </w:t>
      </w:r>
      <w:proofErr w:type="spellStart"/>
      <w:r>
        <w:t>Islam</w:t>
      </w:r>
      <w:proofErr w:type="spellEnd"/>
      <w:r>
        <w:t xml:space="preserve">, M.R. &amp; </w:t>
      </w:r>
      <w:proofErr w:type="spellStart"/>
      <w:r>
        <w:t>Greenough</w:t>
      </w:r>
      <w:proofErr w:type="spellEnd"/>
      <w:r>
        <w:t xml:space="preserve">, W.B. (1964) </w:t>
      </w:r>
      <w:proofErr w:type="spellStart"/>
      <w:r>
        <w:t>Bull</w:t>
      </w:r>
      <w:proofErr w:type="spellEnd"/>
      <w:r>
        <w:t xml:space="preserve"> WHO, </w:t>
      </w:r>
      <w:r>
        <w:rPr>
          <w:b/>
        </w:rPr>
        <w:t>30</w:t>
      </w:r>
      <w:r>
        <w:t>, 827.</w:t>
      </w:r>
    </w:p>
    <w:p w:rsidR="001A3BAA" w:rsidRPr="001A3BAA" w:rsidRDefault="001A3BAA" w:rsidP="001A3BAA">
      <w:pPr>
        <w:pStyle w:val="a3"/>
        <w:numPr>
          <w:ilvl w:val="0"/>
          <w:numId w:val="1"/>
        </w:numPr>
        <w:tabs>
          <w:tab w:val="left" w:pos="861"/>
        </w:tabs>
        <w:spacing w:line="213" w:lineRule="exact"/>
        <w:ind w:left="861"/>
        <w:jc w:val="both"/>
      </w:pPr>
      <w:r>
        <w:t xml:space="preserve">OMS (1970) -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méthodes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choléra</w:t>
      </w:r>
      <w:proofErr w:type="spellEnd"/>
      <w:r>
        <w:t xml:space="preserve">. </w:t>
      </w:r>
      <w:proofErr w:type="spellStart"/>
      <w:r>
        <w:t>Cahiers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Santé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>, n° 40.</w:t>
      </w:r>
    </w:p>
    <w:p w:rsidR="001A3BAA" w:rsidRPr="001A3BAA" w:rsidRDefault="001A3BAA" w:rsidP="001A3BAA">
      <w:pPr>
        <w:pStyle w:val="a3"/>
        <w:numPr>
          <w:ilvl w:val="0"/>
          <w:numId w:val="1"/>
        </w:numPr>
        <w:tabs>
          <w:tab w:val="left" w:pos="861"/>
        </w:tabs>
        <w:spacing w:line="247" w:lineRule="exact"/>
        <w:ind w:hanging="140"/>
        <w:jc w:val="both"/>
      </w:pPr>
      <w:r>
        <w:t xml:space="preserve">NMKL </w:t>
      </w:r>
      <w:proofErr w:type="spellStart"/>
      <w:r>
        <w:t>method</w:t>
      </w:r>
      <w:proofErr w:type="spellEnd"/>
      <w:r>
        <w:t xml:space="preserve"> n° 156, 2nd </w:t>
      </w:r>
      <w:proofErr w:type="spellStart"/>
      <w:r>
        <w:t>ed</w:t>
      </w:r>
      <w:proofErr w:type="spellEnd"/>
      <w:r>
        <w:t>. 1997.</w:t>
      </w:r>
    </w:p>
    <w:p w:rsidR="001A3BAA" w:rsidRPr="001A3BAA" w:rsidRDefault="001A3BAA" w:rsidP="001A3BAA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1A3BAA" w:rsidRPr="001A3BAA" w:rsidRDefault="001A3BAA" w:rsidP="001A3BAA">
      <w:pPr>
        <w:pStyle w:val="Heading1"/>
        <w:jc w:val="both"/>
      </w:pPr>
      <w:r>
        <w:t>Упаковка</w:t>
      </w:r>
    </w:p>
    <w:p w:rsidR="001A3BAA" w:rsidRPr="001A3BAA" w:rsidRDefault="001A3BAA" w:rsidP="001A3BAA">
      <w:pPr>
        <w:tabs>
          <w:tab w:val="left" w:pos="2386"/>
          <w:tab w:val="left" w:pos="5816"/>
        </w:tabs>
        <w:ind w:left="72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4010322</w:t>
      </w:r>
      <w:r>
        <w:tab/>
      </w:r>
      <w:r>
        <w:rPr>
          <w:rFonts w:ascii="Arial"/>
          <w:b/>
          <w:sz w:val="20"/>
        </w:rPr>
        <w:t>Лужна</w:t>
      </w:r>
      <w:r>
        <w:rPr>
          <w:rFonts w:ascii="Arial"/>
          <w:b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Пептонна</w:t>
      </w:r>
      <w:proofErr w:type="spellEnd"/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Вода</w:t>
      </w:r>
      <w:r>
        <w:rPr>
          <w:rFonts w:ascii="Arial"/>
          <w:b/>
          <w:sz w:val="20"/>
        </w:rPr>
        <w:t>,</w:t>
      </w:r>
      <w:r>
        <w:tab/>
      </w:r>
      <w:r>
        <w:rPr>
          <w:rFonts w:ascii="Arial"/>
          <w:b/>
          <w:sz w:val="20"/>
        </w:rPr>
        <w:t xml:space="preserve">500 </w:t>
      </w:r>
      <w:r>
        <w:rPr>
          <w:rFonts w:ascii="Arial"/>
          <w:b/>
          <w:sz w:val="20"/>
        </w:rPr>
        <w:t>г</w:t>
      </w:r>
      <w:r>
        <w:rPr>
          <w:rFonts w:ascii="Arial"/>
          <w:b/>
          <w:sz w:val="20"/>
        </w:rPr>
        <w:t xml:space="preserve"> (25 </w:t>
      </w:r>
      <w:r>
        <w:rPr>
          <w:rFonts w:ascii="Arial"/>
          <w:b/>
          <w:sz w:val="20"/>
        </w:rPr>
        <w:t>л</w:t>
      </w:r>
      <w:r>
        <w:rPr>
          <w:rFonts w:ascii="Arial"/>
          <w:b/>
          <w:sz w:val="20"/>
        </w:rPr>
        <w:t>)</w:t>
      </w:r>
    </w:p>
    <w:p w:rsidR="001A3BAA" w:rsidRPr="001A3BAA" w:rsidRDefault="001A3BAA" w:rsidP="001A3BAA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1A3BAA" w:rsidP="001A3BAA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1A3BAA" w:rsidRPr="001A3BAA" w:rsidRDefault="00FC6E56" w:rsidP="001A3BAA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 w:rsidRPr="00FC6E56">
        <w:pict>
          <v:group id="_x0000_s1042" style="width:492.8pt;height:.85pt;mso-position-horizontal-relative:char;mso-position-vertical-relative:line" coordsize="9856,17">
            <v:group id="_x0000_s1043" style="position:absolute;left:8;top:8;width:9839;height:2" coordorigin="8,8" coordsize="9839,2">
              <v:shape id="_x0000_s1044" style="position:absolute;left:8;top:8;width:9839;height:2" coordorigin="8,8" coordsize="9839,0" path="m8,8r9839,e" filled="f" strokeweight=".82pt">
                <v:path arrowok="t"/>
              </v:shape>
            </v:group>
            <w10:wrap type="none"/>
            <w10:anchorlock/>
          </v:group>
        </w:pict>
      </w:r>
    </w:p>
    <w:p w:rsidR="00BA6D91" w:rsidRPr="001A3BAA" w:rsidRDefault="001A3BAA" w:rsidP="004C3041">
      <w:pPr>
        <w:spacing w:before="40" w:line="190" w:lineRule="exact"/>
        <w:ind w:left="2410" w:right="925" w:hanging="1767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Biolife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Italiana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S.r.l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Cs/>
          <w:sz w:val="20"/>
          <w:szCs w:val="20"/>
        </w:rPr>
        <w:t>Віале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Монца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272, 20128 Мілан, Італія. Тел. номер: ++39 (0)2 25 209 1, Факс: ++39 (0)2 25 76 428 E-</w:t>
      </w:r>
      <w:proofErr w:type="spellStart"/>
      <w:r>
        <w:rPr>
          <w:rFonts w:ascii="Times New Roman" w:hAnsi="Times New Roman"/>
          <w:bCs/>
          <w:sz w:val="20"/>
          <w:szCs w:val="20"/>
        </w:rPr>
        <w:t>mail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: </w:t>
      </w:r>
      <w:hyperlink r:id="rId7">
        <w:r>
          <w:rPr>
            <w:rFonts w:ascii="Times New Roman" w:hAnsi="Times New Roman"/>
            <w:sz w:val="16"/>
            <w:szCs w:val="16"/>
          </w:rPr>
          <w:t>biolife@masciabrunelli.it</w:t>
        </w:r>
      </w:hyperlink>
      <w:r>
        <w:rPr>
          <w:rFonts w:ascii="Times New Roman" w:hAnsi="Times New Roman"/>
          <w:bCs/>
          <w:sz w:val="20"/>
          <w:szCs w:val="20"/>
        </w:rPr>
        <w:t xml:space="preserve"> ; </w:t>
      </w:r>
      <w:proofErr w:type="spellStart"/>
      <w:r>
        <w:rPr>
          <w:rFonts w:ascii="Times New Roman" w:hAnsi="Times New Roman"/>
          <w:bCs/>
          <w:sz w:val="20"/>
          <w:szCs w:val="20"/>
        </w:rPr>
        <w:t>sito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Web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: </w:t>
      </w:r>
      <w:hyperlink r:id="rId8">
        <w:r>
          <w:rPr>
            <w:rFonts w:ascii="Times New Roman" w:hAnsi="Times New Roman"/>
            <w:sz w:val="16"/>
            <w:szCs w:val="16"/>
          </w:rPr>
          <w:t>www.biolifeit.com</w:t>
        </w:r>
      </w:hyperlink>
    </w:p>
    <w:sectPr w:rsidR="00BA6D91" w:rsidRPr="001A3BAA" w:rsidSect="00BA6D91">
      <w:type w:val="continuous"/>
      <w:pgSz w:w="11900" w:h="16840"/>
      <w:pgMar w:top="660" w:right="920" w:bottom="280" w:left="8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AF0" w:rsidRDefault="00F77AF0" w:rsidP="001A3BAA">
      <w:r>
        <w:separator/>
      </w:r>
    </w:p>
  </w:endnote>
  <w:endnote w:type="continuationSeparator" w:id="0">
    <w:p w:rsidR="00F77AF0" w:rsidRDefault="00F77AF0" w:rsidP="001A3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AF0" w:rsidRDefault="00F77AF0" w:rsidP="001A3BAA">
      <w:r>
        <w:separator/>
      </w:r>
    </w:p>
  </w:footnote>
  <w:footnote w:type="continuationSeparator" w:id="0">
    <w:p w:rsidR="00F77AF0" w:rsidRDefault="00F77AF0" w:rsidP="001A3B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BB0"/>
    <w:multiLevelType w:val="hybridMultilevel"/>
    <w:tmpl w:val="B32C3146"/>
    <w:lvl w:ilvl="0" w:tplc="D0085F04">
      <w:start w:val="1"/>
      <w:numFmt w:val="bullet"/>
      <w:lvlText w:val="•"/>
      <w:lvlJc w:val="left"/>
      <w:pPr>
        <w:ind w:left="860" w:hanging="141"/>
      </w:pPr>
      <w:rPr>
        <w:rFonts w:ascii="Arial" w:eastAsia="Arial" w:hAnsi="Arial" w:hint="default"/>
        <w:sz w:val="20"/>
        <w:szCs w:val="20"/>
      </w:rPr>
    </w:lvl>
    <w:lvl w:ilvl="1" w:tplc="7636514C">
      <w:start w:val="1"/>
      <w:numFmt w:val="bullet"/>
      <w:lvlText w:val="•"/>
      <w:lvlJc w:val="left"/>
      <w:pPr>
        <w:ind w:left="1788" w:hanging="141"/>
      </w:pPr>
      <w:rPr>
        <w:rFonts w:hint="default"/>
      </w:rPr>
    </w:lvl>
    <w:lvl w:ilvl="2" w:tplc="4F944B82">
      <w:start w:val="1"/>
      <w:numFmt w:val="bullet"/>
      <w:lvlText w:val="•"/>
      <w:lvlJc w:val="left"/>
      <w:pPr>
        <w:ind w:left="2716" w:hanging="141"/>
      </w:pPr>
      <w:rPr>
        <w:rFonts w:hint="default"/>
      </w:rPr>
    </w:lvl>
    <w:lvl w:ilvl="3" w:tplc="127ECEF8">
      <w:start w:val="1"/>
      <w:numFmt w:val="bullet"/>
      <w:lvlText w:val="•"/>
      <w:lvlJc w:val="left"/>
      <w:pPr>
        <w:ind w:left="3644" w:hanging="141"/>
      </w:pPr>
      <w:rPr>
        <w:rFonts w:hint="default"/>
      </w:rPr>
    </w:lvl>
    <w:lvl w:ilvl="4" w:tplc="7EC24AD6">
      <w:start w:val="1"/>
      <w:numFmt w:val="bullet"/>
      <w:lvlText w:val="•"/>
      <w:lvlJc w:val="left"/>
      <w:pPr>
        <w:ind w:left="4572" w:hanging="141"/>
      </w:pPr>
      <w:rPr>
        <w:rFonts w:hint="default"/>
      </w:rPr>
    </w:lvl>
    <w:lvl w:ilvl="5" w:tplc="7D4A0CF6">
      <w:start w:val="1"/>
      <w:numFmt w:val="bullet"/>
      <w:lvlText w:val="•"/>
      <w:lvlJc w:val="left"/>
      <w:pPr>
        <w:ind w:left="5500" w:hanging="141"/>
      </w:pPr>
      <w:rPr>
        <w:rFonts w:hint="default"/>
      </w:rPr>
    </w:lvl>
    <w:lvl w:ilvl="6" w:tplc="B672CA32">
      <w:start w:val="1"/>
      <w:numFmt w:val="bullet"/>
      <w:lvlText w:val="•"/>
      <w:lvlJc w:val="left"/>
      <w:pPr>
        <w:ind w:left="6428" w:hanging="141"/>
      </w:pPr>
      <w:rPr>
        <w:rFonts w:hint="default"/>
      </w:rPr>
    </w:lvl>
    <w:lvl w:ilvl="7" w:tplc="6E24D998">
      <w:start w:val="1"/>
      <w:numFmt w:val="bullet"/>
      <w:lvlText w:val="•"/>
      <w:lvlJc w:val="left"/>
      <w:pPr>
        <w:ind w:left="7356" w:hanging="141"/>
      </w:pPr>
      <w:rPr>
        <w:rFonts w:hint="default"/>
      </w:rPr>
    </w:lvl>
    <w:lvl w:ilvl="8" w:tplc="27BE0F1C">
      <w:start w:val="1"/>
      <w:numFmt w:val="bullet"/>
      <w:lvlText w:val="•"/>
      <w:lvlJc w:val="left"/>
      <w:pPr>
        <w:ind w:left="8284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A6D91"/>
    <w:rsid w:val="001A3BAA"/>
    <w:rsid w:val="002C7FAD"/>
    <w:rsid w:val="004C3041"/>
    <w:rsid w:val="00A17141"/>
    <w:rsid w:val="00BA6D91"/>
    <w:rsid w:val="00E81F92"/>
    <w:rsid w:val="00F77AF0"/>
    <w:rsid w:val="00FC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6D91"/>
    <w:pPr>
      <w:ind w:left="720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a"/>
    <w:uiPriority w:val="1"/>
    <w:qFormat/>
    <w:rsid w:val="00BA6D91"/>
    <w:pPr>
      <w:ind w:left="720"/>
      <w:outlineLvl w:val="1"/>
    </w:pPr>
    <w:rPr>
      <w:rFonts w:ascii="Arial" w:eastAsia="Arial" w:hAnsi="Arial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BA6D91"/>
  </w:style>
  <w:style w:type="paragraph" w:customStyle="1" w:styleId="TableParagraph">
    <w:name w:val="Table Paragraph"/>
    <w:basedOn w:val="a"/>
    <w:uiPriority w:val="1"/>
    <w:qFormat/>
    <w:rsid w:val="00BA6D91"/>
  </w:style>
  <w:style w:type="paragraph" w:styleId="a5">
    <w:name w:val="header"/>
    <w:basedOn w:val="a"/>
    <w:link w:val="a6"/>
    <w:uiPriority w:val="99"/>
    <w:semiHidden/>
    <w:unhideWhenUsed/>
    <w:rsid w:val="001A3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3BAA"/>
  </w:style>
  <w:style w:type="paragraph" w:styleId="a7">
    <w:name w:val="footer"/>
    <w:basedOn w:val="a"/>
    <w:link w:val="a8"/>
    <w:uiPriority w:val="99"/>
    <w:semiHidden/>
    <w:unhideWhenUsed/>
    <w:rsid w:val="001A3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B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ifei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life@masciabrunel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>RePack by SPecialiST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- 401032.doc</dc:title>
  <dc:creator>Carozzi</dc:creator>
  <cp:lastModifiedBy>Саша</cp:lastModifiedBy>
  <cp:revision>2</cp:revision>
  <dcterms:created xsi:type="dcterms:W3CDTF">2014-07-07T06:24:00Z</dcterms:created>
  <dcterms:modified xsi:type="dcterms:W3CDTF">2014-07-07T06:24:00Z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2004-10-06T00:00:00Z</vt:filetime>
  </property>
  <property fmtid="{D5CDD505-2E9C-101B-9397-08002B2CF9AE}" pid="3" name="LastSaved">
    <vt:filetime>2014-06-06T00:00:00Z</vt:filetime>
  </property>
</Properties>
</file>